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5A972" w14:textId="77777777" w:rsidR="00B31F53" w:rsidRDefault="000A4467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Opis przedmiotu zamówienia  </w:t>
      </w:r>
    </w:p>
    <w:p w14:paraId="4AA23B9A" w14:textId="7CD7DAAA" w:rsidR="00B31F53" w:rsidRDefault="000A4467">
      <w:pPr>
        <w:spacing w:after="0" w:line="276" w:lineRule="auto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Przedmiotem zamówienia jest  wykonanie robót budowlanych w zakresie re</w:t>
      </w:r>
      <w:r w:rsidR="00FB3645">
        <w:rPr>
          <w:rFonts w:cstheme="minorHAnsi"/>
          <w:lang w:eastAsia="pl-PL"/>
        </w:rPr>
        <w:t>montu</w:t>
      </w:r>
      <w:r>
        <w:rPr>
          <w:rFonts w:cstheme="minorHAnsi"/>
          <w:lang w:eastAsia="pl-PL"/>
        </w:rPr>
        <w:t xml:space="preserve"> pokrycia dachu płaskiego w technologii płynnej membrany dla XV piętrowego budynku przy ul. Geodetów 1 </w:t>
      </w:r>
      <w:r>
        <w:rPr>
          <w:rFonts w:cstheme="minorHAnsi"/>
          <w:lang w:eastAsia="pl-PL"/>
        </w:rPr>
        <w:br/>
        <w:t>w Rzeszowie, posadowionego na działce nr 1762 obr. 208 Nowe Miasto.</w:t>
      </w:r>
    </w:p>
    <w:p w14:paraId="4CD55DD5" w14:textId="77777777" w:rsidR="00B31F53" w:rsidRDefault="00B31F53">
      <w:pPr>
        <w:spacing w:after="0" w:line="276" w:lineRule="auto"/>
        <w:jc w:val="both"/>
        <w:rPr>
          <w:rFonts w:cstheme="minorHAnsi"/>
          <w:lang w:eastAsia="pl-PL"/>
        </w:rPr>
      </w:pPr>
    </w:p>
    <w:p w14:paraId="307D9AE2" w14:textId="77777777" w:rsidR="00B31F53" w:rsidRDefault="000A4467">
      <w:pPr>
        <w:pStyle w:val="Tekstpodstawowy"/>
        <w:spacing w:after="0" w:line="276" w:lineRule="auto"/>
        <w:jc w:val="both"/>
        <w:rPr>
          <w:rFonts w:eastAsiaTheme="minorHAnsi" w:cstheme="minorHAnsi"/>
          <w:sz w:val="22"/>
          <w:lang w:eastAsia="pl-PL"/>
        </w:rPr>
      </w:pPr>
      <w:r>
        <w:rPr>
          <w:rFonts w:eastAsiaTheme="minorHAnsi" w:cstheme="minorHAnsi"/>
          <w:sz w:val="22"/>
          <w:lang w:eastAsia="pl-PL"/>
        </w:rPr>
        <w:t>Nazwy i kody określone we Wspólnym Słowniku Zamówień:</w:t>
      </w:r>
    </w:p>
    <w:p w14:paraId="5DAB9628" w14:textId="77777777" w:rsidR="00B31F53" w:rsidRDefault="000A4467">
      <w:pPr>
        <w:spacing w:after="0" w:line="276" w:lineRule="auto"/>
        <w:jc w:val="both"/>
        <w:rPr>
          <w:rFonts w:cstheme="minorHAnsi"/>
          <w:lang w:eastAsia="pl-PL"/>
        </w:rPr>
      </w:pPr>
      <w:r>
        <w:rPr>
          <w:rFonts w:cstheme="minorHAnsi"/>
          <w:b/>
          <w:bCs/>
          <w:lang w:eastAsia="pl-PL"/>
        </w:rPr>
        <w:t>45261900-3</w:t>
      </w:r>
      <w:r>
        <w:rPr>
          <w:rFonts w:cstheme="minorHAnsi"/>
          <w:lang w:eastAsia="pl-PL"/>
        </w:rPr>
        <w:t xml:space="preserve"> – Naprawa i konserwacja dachów</w:t>
      </w:r>
    </w:p>
    <w:p w14:paraId="1AAC765E" w14:textId="77777777" w:rsidR="00B31F53" w:rsidRDefault="00B31F53">
      <w:pPr>
        <w:spacing w:after="0" w:line="276" w:lineRule="auto"/>
        <w:jc w:val="both"/>
        <w:rPr>
          <w:rFonts w:cstheme="minorHAnsi"/>
          <w:lang w:eastAsia="pl-PL"/>
        </w:rPr>
      </w:pPr>
    </w:p>
    <w:p w14:paraId="6545B4F6" w14:textId="77777777" w:rsidR="00B31F53" w:rsidRDefault="000A4467">
      <w:pPr>
        <w:pStyle w:val="Tekstpodstawowy"/>
        <w:widowControl/>
        <w:numPr>
          <w:ilvl w:val="1"/>
          <w:numId w:val="3"/>
        </w:numPr>
        <w:spacing w:after="180" w:line="276" w:lineRule="auto"/>
        <w:jc w:val="both"/>
        <w:rPr>
          <w:rFonts w:cstheme="minorHAnsi"/>
          <w:b/>
          <w:sz w:val="22"/>
        </w:rPr>
      </w:pPr>
      <w:r>
        <w:rPr>
          <w:rFonts w:cstheme="minorHAnsi"/>
          <w:b/>
          <w:sz w:val="22"/>
        </w:rPr>
        <w:t xml:space="preserve"> Charakterystyka obiektu i stan obecny</w:t>
      </w:r>
    </w:p>
    <w:p w14:paraId="3E3C1FC7" w14:textId="77777777" w:rsidR="00B31F53" w:rsidRDefault="000A4467">
      <w:pPr>
        <w:pStyle w:val="Tekstpodstawowy"/>
        <w:widowControl/>
        <w:numPr>
          <w:ilvl w:val="0"/>
          <w:numId w:val="1"/>
        </w:numPr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Style w:val="Pogrubienie"/>
          <w:rFonts w:cstheme="minorHAnsi"/>
          <w:sz w:val="22"/>
        </w:rPr>
        <w:t>Powierzchnia dachu:</w:t>
      </w:r>
      <w:r>
        <w:rPr>
          <w:rFonts w:cstheme="minorHAnsi"/>
          <w:sz w:val="22"/>
        </w:rPr>
        <w:t xml:space="preserve"> ok. 540 m². W załączniku nr 1 przedstawiono powierzchnię dachu podlegającą renowacji.</w:t>
      </w:r>
    </w:p>
    <w:p w14:paraId="239BEA0A" w14:textId="77777777" w:rsidR="00B31F53" w:rsidRDefault="000A4467">
      <w:pPr>
        <w:pStyle w:val="Tekstpodstawowy"/>
        <w:widowControl/>
        <w:numPr>
          <w:ilvl w:val="0"/>
          <w:numId w:val="1"/>
        </w:numPr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Style w:val="Pogrubienie"/>
          <w:rFonts w:cstheme="minorHAnsi"/>
          <w:sz w:val="22"/>
        </w:rPr>
        <w:t>Konstrukcja dachu:</w:t>
      </w:r>
      <w:r>
        <w:rPr>
          <w:rFonts w:cstheme="minorHAnsi"/>
          <w:sz w:val="22"/>
        </w:rPr>
        <w:t xml:space="preserve"> Dach płaski ze spadkiem wewnętrznym (do środka budynku /4szt. wpusty rynnowe wewnętrzne).</w:t>
      </w:r>
    </w:p>
    <w:p w14:paraId="2F6E45D2" w14:textId="77777777" w:rsidR="00B31F53" w:rsidRDefault="000A4467">
      <w:pPr>
        <w:pStyle w:val="Tekstpodstawowy"/>
        <w:widowControl/>
        <w:numPr>
          <w:ilvl w:val="0"/>
          <w:numId w:val="1"/>
        </w:numPr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Style w:val="Pogrubienie"/>
          <w:rFonts w:cstheme="minorHAnsi"/>
          <w:sz w:val="22"/>
        </w:rPr>
        <w:t>Obecne pokrycie:</w:t>
      </w:r>
      <w:r>
        <w:rPr>
          <w:rFonts w:cstheme="minorHAnsi"/>
          <w:sz w:val="22"/>
        </w:rPr>
        <w:t xml:space="preserve"> Stara papa bitumiczna (miejscowe spękania, pęcherze do naprawy).</w:t>
      </w:r>
    </w:p>
    <w:p w14:paraId="34794801" w14:textId="77777777" w:rsidR="00B31F53" w:rsidRDefault="000A4467">
      <w:pPr>
        <w:pStyle w:val="Tekstpodstawowy"/>
        <w:widowControl/>
        <w:numPr>
          <w:ilvl w:val="0"/>
          <w:numId w:val="1"/>
        </w:numPr>
        <w:spacing w:after="0" w:line="276" w:lineRule="auto"/>
        <w:ind w:left="567"/>
        <w:jc w:val="both"/>
        <w:rPr>
          <w:rStyle w:val="Pogrubienie"/>
          <w:rFonts w:cstheme="minorHAnsi"/>
          <w:b w:val="0"/>
          <w:bCs w:val="0"/>
          <w:sz w:val="22"/>
        </w:rPr>
      </w:pPr>
      <w:r>
        <w:rPr>
          <w:rStyle w:val="Pogrubienie"/>
          <w:rFonts w:cstheme="minorHAnsi"/>
          <w:sz w:val="22"/>
        </w:rPr>
        <w:t>Specyfika obiektu:</w:t>
      </w:r>
      <w:r>
        <w:rPr>
          <w:rFonts w:cstheme="minorHAnsi"/>
          <w:sz w:val="22"/>
        </w:rPr>
        <w:t xml:space="preserve"> Na dachu znajduje się </w:t>
      </w:r>
      <w:r>
        <w:rPr>
          <w:rStyle w:val="Pogrubienie"/>
          <w:rFonts w:cstheme="minorHAnsi"/>
          <w:sz w:val="22"/>
        </w:rPr>
        <w:t xml:space="preserve">bardzo duża ilość osprzętu teletechnicznego </w:t>
      </w:r>
      <w:r>
        <w:rPr>
          <w:rStyle w:val="Pogrubienie"/>
          <w:rFonts w:cstheme="minorHAnsi"/>
          <w:sz w:val="22"/>
        </w:rPr>
        <w:br/>
        <w:t>i instalacji</w:t>
      </w:r>
      <w:r>
        <w:rPr>
          <w:rFonts w:cstheme="minorHAnsi"/>
          <w:sz w:val="22"/>
        </w:rPr>
        <w:t xml:space="preserve"> (klimatyzatory, maszty, odciągi, gęsta sieć koryt kablowych). W załączniku </w:t>
      </w:r>
      <w:r>
        <w:rPr>
          <w:rFonts w:cstheme="minorHAnsi"/>
          <w:sz w:val="22"/>
        </w:rPr>
        <w:br/>
        <w:t xml:space="preserve">nr 2 przedstawiono schematyczne rozmieszczenie urządzeń na powierzchni dachu. Z tego względu wykluczamy technologie wymagające użycia ognia oraz tradycyjne materiały rolkowe (papa/PVC). Zewnętrzny obrys dachu otoczony attyką o wysokości ok. 1,1 m. Wewnątrz przestrzeni dachowej umieszczony jest na podwyższeniu zbiornik wody pożarowej </w:t>
      </w:r>
      <w:r>
        <w:rPr>
          <w:rFonts w:cstheme="minorHAnsi"/>
          <w:sz w:val="22"/>
        </w:rPr>
        <w:br/>
        <w:t>i pomieszczenie wentylatorowni.</w:t>
      </w:r>
    </w:p>
    <w:p w14:paraId="2BCC297A" w14:textId="77777777" w:rsidR="00B31F53" w:rsidRDefault="00B31F53">
      <w:pPr>
        <w:pStyle w:val="Tekstpodstawowy"/>
        <w:widowControl/>
        <w:spacing w:after="0" w:line="276" w:lineRule="auto"/>
        <w:ind w:left="567"/>
        <w:jc w:val="both"/>
        <w:rPr>
          <w:rFonts w:cstheme="minorHAnsi"/>
          <w:sz w:val="22"/>
        </w:rPr>
      </w:pPr>
    </w:p>
    <w:p w14:paraId="5260025D" w14:textId="77777777" w:rsidR="00B31F53" w:rsidRDefault="000A4467">
      <w:pPr>
        <w:pStyle w:val="Tekstpodstawowy"/>
        <w:widowControl/>
        <w:numPr>
          <w:ilvl w:val="1"/>
          <w:numId w:val="3"/>
        </w:numPr>
        <w:spacing w:after="180" w:line="276" w:lineRule="auto"/>
        <w:jc w:val="both"/>
        <w:rPr>
          <w:rFonts w:cstheme="minorHAnsi"/>
          <w:b/>
          <w:sz w:val="22"/>
        </w:rPr>
      </w:pPr>
      <w:r>
        <w:rPr>
          <w:rFonts w:cstheme="minorHAnsi"/>
          <w:b/>
          <w:sz w:val="22"/>
        </w:rPr>
        <w:t>Wymagany zakres prac i technologia</w:t>
      </w:r>
    </w:p>
    <w:p w14:paraId="484789D8" w14:textId="77777777" w:rsidR="00B31F53" w:rsidRDefault="000A4467">
      <w:pPr>
        <w:pStyle w:val="Tekstpodstawowy"/>
        <w:spacing w:after="0" w:line="276" w:lineRule="auto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Renowacja pokrycia dachu ma zostać zrealizowana w technologii </w:t>
      </w:r>
      <w:r>
        <w:rPr>
          <w:rStyle w:val="Pogrubienie"/>
          <w:rFonts w:cstheme="minorHAnsi"/>
          <w:sz w:val="22"/>
        </w:rPr>
        <w:t>bezszwowej, płynnej membran (preferowany poliuretan lub polimocznik)</w:t>
      </w:r>
      <w:r>
        <w:rPr>
          <w:rFonts w:cstheme="minorHAnsi"/>
          <w:sz w:val="22"/>
        </w:rPr>
        <w:t xml:space="preserve"> zapewniającej pełną, permanentną odporność na stojącą wodę i ułatwiającą obróbkę gęstej infrastruktury teletechnicznej znajdującej się na dachu. Zamawiający nie dopuszcza stosowania (mieszania) różnych systemów renowacyjnych – należy stosować system renowacyjny jednego producenta. </w:t>
      </w:r>
    </w:p>
    <w:p w14:paraId="7B7FF80F" w14:textId="77777777" w:rsidR="00B31F53" w:rsidRDefault="00B31F53">
      <w:pPr>
        <w:pStyle w:val="Tekstpodstawowy"/>
        <w:spacing w:after="0" w:line="276" w:lineRule="auto"/>
        <w:jc w:val="both"/>
        <w:rPr>
          <w:rFonts w:cstheme="minorHAnsi"/>
          <w:sz w:val="22"/>
        </w:rPr>
      </w:pPr>
    </w:p>
    <w:p w14:paraId="775C5A6C" w14:textId="77777777" w:rsidR="00B31F53" w:rsidRDefault="00B31F53">
      <w:pPr>
        <w:pStyle w:val="Tekstpodstawowy"/>
        <w:spacing w:after="0" w:line="276" w:lineRule="auto"/>
        <w:ind w:left="567"/>
        <w:jc w:val="both"/>
        <w:rPr>
          <w:rStyle w:val="Pogrubienie"/>
          <w:rFonts w:cstheme="minorHAnsi"/>
          <w:sz w:val="22"/>
        </w:rPr>
      </w:pPr>
    </w:p>
    <w:p w14:paraId="2D05CE8E" w14:textId="77777777" w:rsidR="00B31F53" w:rsidRDefault="000A4467">
      <w:pPr>
        <w:pStyle w:val="Tekstpodstawowy"/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Style w:val="Pogrubienie"/>
          <w:rFonts w:cstheme="minorHAnsi"/>
          <w:sz w:val="22"/>
        </w:rPr>
        <w:t>Zakres robót zakresu gwarantowanego obejmuje :</w:t>
      </w:r>
    </w:p>
    <w:p w14:paraId="52D1F806" w14:textId="77777777" w:rsidR="00B31F53" w:rsidRDefault="000A4467">
      <w:pPr>
        <w:pStyle w:val="Tekstpodstawowy"/>
        <w:widowControl/>
        <w:numPr>
          <w:ilvl w:val="0"/>
          <w:numId w:val="2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Montaż wpustów rynnowych dachowych z tworzywa sztucznego 4 szt. z koszem ochronnym </w:t>
      </w:r>
      <w:r>
        <w:rPr>
          <w:rFonts w:cstheme="minorHAnsi"/>
          <w:sz w:val="22"/>
        </w:rPr>
        <w:br/>
        <w:t>o możliwie największej średnicy dostoswanej do istniejącego otworu spustowego.</w:t>
      </w:r>
    </w:p>
    <w:p w14:paraId="5C24E13C" w14:textId="77777777" w:rsidR="00B31F53" w:rsidRDefault="000A4467">
      <w:pPr>
        <w:pStyle w:val="Tekstpodstawowy"/>
        <w:widowControl/>
        <w:numPr>
          <w:ilvl w:val="0"/>
          <w:numId w:val="2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Wzmocnienie uszczelnienia kołnierzy wokół wpustów dachowych (w korycie) jeżeli wymaga tego stan istniejący (dodatkowa warstwa)</w:t>
      </w:r>
    </w:p>
    <w:p w14:paraId="0DE19996" w14:textId="7F1C9DEA" w:rsidR="00B31F53" w:rsidRDefault="000A4467">
      <w:pPr>
        <w:pStyle w:val="Tekstpodstawowy"/>
        <w:widowControl/>
        <w:numPr>
          <w:ilvl w:val="0"/>
          <w:numId w:val="2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Wzmocnienie uszczelnienia w obszarze do 0,4 m z każdej strony istniejących koryt</w:t>
      </w:r>
      <w:r w:rsidR="009F15B1">
        <w:rPr>
          <w:rFonts w:cstheme="minorHAnsi"/>
          <w:sz w:val="22"/>
        </w:rPr>
        <w:t xml:space="preserve"> (dodatkowa warstwa).</w:t>
      </w:r>
      <w:r>
        <w:rPr>
          <w:rFonts w:cstheme="minorHAnsi"/>
          <w:sz w:val="22"/>
        </w:rPr>
        <w:t xml:space="preserve"> </w:t>
      </w:r>
    </w:p>
    <w:p w14:paraId="22CDBA5A" w14:textId="1ABDC642" w:rsidR="00B31F53" w:rsidRDefault="000A4467">
      <w:pPr>
        <w:pStyle w:val="Tekstpodstawowy"/>
        <w:widowControl/>
        <w:numPr>
          <w:ilvl w:val="0"/>
          <w:numId w:val="2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Montaż 6 kominków wentylacyjnych (3 kominki po stronie wschodniej dachu, 3 kominki po stronie zachodniej dachu) o średnicy min. 150 mm do wentylowania przestrzeni międzystropowej</w:t>
      </w:r>
      <w:r w:rsidR="009F15B1">
        <w:rPr>
          <w:rFonts w:cstheme="minorHAnsi"/>
          <w:sz w:val="22"/>
        </w:rPr>
        <w:t>.</w:t>
      </w:r>
    </w:p>
    <w:p w14:paraId="4972E4A3" w14:textId="77777777" w:rsidR="00B31F53" w:rsidRDefault="00B31F53">
      <w:pPr>
        <w:pStyle w:val="Tekstpodstawowy"/>
        <w:widowControl/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</w:p>
    <w:p w14:paraId="57BA282A" w14:textId="77777777" w:rsidR="00B31F53" w:rsidRDefault="000A4467">
      <w:pPr>
        <w:pStyle w:val="Tekstpodstawowy"/>
        <w:spacing w:after="0" w:line="276" w:lineRule="auto"/>
        <w:ind w:left="283" w:firstLine="284"/>
        <w:jc w:val="both"/>
        <w:rPr>
          <w:rFonts w:cstheme="minorHAnsi"/>
          <w:sz w:val="22"/>
        </w:rPr>
      </w:pPr>
      <w:r>
        <w:rPr>
          <w:rStyle w:val="Pogrubienie"/>
          <w:rFonts w:cstheme="minorHAnsi"/>
          <w:sz w:val="22"/>
        </w:rPr>
        <w:t>Zakres robót zakresu prawa opcji obejmuje :</w:t>
      </w:r>
    </w:p>
    <w:p w14:paraId="1BA3C321" w14:textId="77777777" w:rsidR="00B31F53" w:rsidRDefault="00B31F53">
      <w:pPr>
        <w:pStyle w:val="Tekstpodstawowy"/>
        <w:widowControl/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</w:p>
    <w:p w14:paraId="748183BB" w14:textId="77777777" w:rsidR="00B31F53" w:rsidRDefault="000A4467">
      <w:pPr>
        <w:pStyle w:val="Tekstpodstawowy"/>
        <w:widowControl/>
        <w:numPr>
          <w:ilvl w:val="0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lastRenderedPageBreak/>
        <w:t xml:space="preserve">Przygotowanie podłoża - czyszczenie hydrodynamiczne podłoża (mycie ciśnieniowe) oraz usunięcie pęcherzy i naprawę ubytków i spękań w starym pokryciu dachowym wykonanym </w:t>
      </w:r>
      <w:r>
        <w:rPr>
          <w:rFonts w:cstheme="minorHAnsi"/>
          <w:sz w:val="22"/>
        </w:rPr>
        <w:br/>
        <w:t>z papy.</w:t>
      </w:r>
    </w:p>
    <w:p w14:paraId="27A7865C" w14:textId="77777777" w:rsidR="00B31F53" w:rsidRDefault="000A4467">
      <w:pPr>
        <w:pStyle w:val="Tekstpodstawowy"/>
        <w:widowControl/>
        <w:numPr>
          <w:ilvl w:val="0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Zastosowanie odpowiedniego gruntu odcinającego (zgodnie z systemem) jeżeli system tego wymaga lub przewiduje.</w:t>
      </w:r>
    </w:p>
    <w:p w14:paraId="60DA40C6" w14:textId="77777777" w:rsidR="00B31F53" w:rsidRDefault="000A4467">
      <w:pPr>
        <w:pStyle w:val="Tekstpodstawowy"/>
        <w:widowControl/>
        <w:numPr>
          <w:ilvl w:val="0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Wykonanie hydroizolacji detali przy użyciu zbrojenia systemowego (jeżeli system tego wymaga lub przewiduje).</w:t>
      </w:r>
    </w:p>
    <w:p w14:paraId="2FF3E577" w14:textId="77777777" w:rsidR="00B31F53" w:rsidRDefault="000A4467">
      <w:pPr>
        <w:pStyle w:val="Tekstpodstawowy"/>
        <w:widowControl/>
        <w:numPr>
          <w:ilvl w:val="0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Wykonanie hydroizolacji na styku powierzchni pionowych i poziomych  (z wywinięciem na elementy pionowe ścian attyki, kominów i zbiornik ppoż. na ok. 15-20 cm) zgodnie </w:t>
      </w:r>
      <w:r>
        <w:rPr>
          <w:rFonts w:cstheme="minorHAnsi"/>
          <w:sz w:val="22"/>
        </w:rPr>
        <w:br/>
        <w:t>z przyjętym systemem uszczelnień.</w:t>
      </w:r>
    </w:p>
    <w:p w14:paraId="3AB6D189" w14:textId="77777777" w:rsidR="00B31F53" w:rsidRDefault="000A4467">
      <w:pPr>
        <w:pStyle w:val="Tekstpodstawowy"/>
        <w:widowControl/>
        <w:numPr>
          <w:ilvl w:val="0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Aplikację powierzchniową głównej membrany hydroizolacyjnej o żywotności min. 15 do 25 lat.</w:t>
      </w:r>
    </w:p>
    <w:p w14:paraId="12913D4E" w14:textId="77777777" w:rsidR="00B31F53" w:rsidRDefault="000A4467">
      <w:pPr>
        <w:pStyle w:val="Tekstpodstawowy"/>
        <w:widowControl/>
        <w:numPr>
          <w:ilvl w:val="0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Wykonanie warstwy wierzchniej w kolorze jasnym (np: szary, biały, popielaty) odpornej na UV.</w:t>
      </w:r>
    </w:p>
    <w:p w14:paraId="68E98637" w14:textId="77777777" w:rsidR="00B31F53" w:rsidRDefault="00B31F53">
      <w:pPr>
        <w:pStyle w:val="Tekstpodstawowy"/>
        <w:widowControl/>
        <w:tabs>
          <w:tab w:val="left" w:pos="567"/>
        </w:tabs>
        <w:spacing w:after="0" w:line="276" w:lineRule="auto"/>
        <w:ind w:left="284"/>
        <w:jc w:val="both"/>
        <w:rPr>
          <w:rFonts w:cstheme="minorHAnsi"/>
          <w:sz w:val="22"/>
        </w:rPr>
      </w:pPr>
    </w:p>
    <w:p w14:paraId="61CEE49D" w14:textId="77777777" w:rsidR="00B31F53" w:rsidRDefault="000A4467">
      <w:pPr>
        <w:pStyle w:val="Tekstpodstawowy"/>
        <w:widowControl/>
        <w:numPr>
          <w:ilvl w:val="1"/>
          <w:numId w:val="3"/>
        </w:numPr>
        <w:spacing w:after="180" w:line="276" w:lineRule="auto"/>
        <w:jc w:val="both"/>
        <w:rPr>
          <w:rFonts w:cstheme="minorHAnsi"/>
          <w:b/>
          <w:sz w:val="22"/>
        </w:rPr>
      </w:pPr>
      <w:r>
        <w:rPr>
          <w:rFonts w:cstheme="minorHAnsi"/>
          <w:b/>
          <w:sz w:val="22"/>
        </w:rPr>
        <w:t>Pozostałe wymagania:</w:t>
      </w:r>
    </w:p>
    <w:p w14:paraId="592545CF" w14:textId="77777777" w:rsidR="00B31F53" w:rsidRDefault="000A4467">
      <w:pPr>
        <w:pStyle w:val="NormalnyWeb"/>
        <w:numPr>
          <w:ilvl w:val="1"/>
          <w:numId w:val="4"/>
        </w:numPr>
        <w:shd w:val="clear" w:color="auto" w:fill="FFFFFF"/>
        <w:tabs>
          <w:tab w:val="left" w:pos="567"/>
        </w:tabs>
        <w:spacing w:beforeAutospacing="0" w:after="0" w:afterAutospacing="0"/>
        <w:ind w:left="567"/>
        <w:jc w:val="both"/>
        <w:rPr>
          <w:rFonts w:asciiTheme="minorHAnsi" w:eastAsia="Lato" w:hAnsiTheme="minorHAnsi" w:cstheme="minorHAnsi"/>
          <w:sz w:val="22"/>
          <w:szCs w:val="22"/>
          <w:lang w:eastAsia="en-US"/>
        </w:rPr>
      </w:pPr>
      <w:r>
        <w:rPr>
          <w:rFonts w:asciiTheme="minorHAnsi" w:eastAsia="Lato" w:hAnsiTheme="minorHAnsi" w:cstheme="minorHAnsi"/>
          <w:sz w:val="22"/>
          <w:szCs w:val="22"/>
          <w:lang w:eastAsia="en-US"/>
        </w:rPr>
        <w:t>Zamawiający wymaga udzielenia przez Wykonawcę </w:t>
      </w:r>
      <w:r>
        <w:rPr>
          <w:rFonts w:asciiTheme="minorHAnsi" w:eastAsia="Lato" w:hAnsiTheme="minorHAnsi" w:cstheme="minorHAnsi"/>
          <w:b/>
          <w:bCs/>
          <w:sz w:val="22"/>
          <w:szCs w:val="22"/>
          <w:lang w:eastAsia="en-US"/>
        </w:rPr>
        <w:t>minimum 7-letniej gwarancji</w:t>
      </w:r>
      <w:r>
        <w:rPr>
          <w:rFonts w:asciiTheme="minorHAnsi" w:eastAsia="Lato" w:hAnsiTheme="minorHAnsi" w:cstheme="minorHAnsi"/>
          <w:sz w:val="22"/>
          <w:szCs w:val="22"/>
          <w:lang w:eastAsia="en-US"/>
        </w:rPr>
        <w:t xml:space="preserve"> na wykonane roboty.</w:t>
      </w:r>
    </w:p>
    <w:p w14:paraId="05F3E9D3" w14:textId="77777777" w:rsidR="00B31F53" w:rsidRDefault="000A4467">
      <w:pPr>
        <w:pStyle w:val="Tekstpodstawowy"/>
        <w:widowControl/>
        <w:numPr>
          <w:ilvl w:val="1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Oferowany system renowacyjny musi posiadać dokumenty potwierdzające jego właściwości użytkowe, w tym dokument potwierdzający klasyfikację w zakresie reakcji na ogień oraz spełnienie wymagania nierozprzestrzeniania ognia (NRO) dla układu dachowego, w zakresie odpowiednim do przewidywanego zastosowania. </w:t>
      </w:r>
    </w:p>
    <w:p w14:paraId="795DEC09" w14:textId="77777777" w:rsidR="00B31F53" w:rsidRDefault="000A4467">
      <w:pPr>
        <w:pStyle w:val="Tekstpodstawowy"/>
        <w:widowControl/>
        <w:numPr>
          <w:ilvl w:val="1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Wykonawca zobowiązany jest przedstawić dokumentację techniczną oferowanego systemu, obejmującą co najmniej karty techniczne produktów, instrukcję wykonania oraz informacje dotyczące przygotowania podłoża i warunków aplikacji.</w:t>
      </w:r>
    </w:p>
    <w:p w14:paraId="233511CD" w14:textId="77777777" w:rsidR="00B31F53" w:rsidRDefault="000A4467">
      <w:pPr>
        <w:pStyle w:val="Tekstpodstawowy"/>
        <w:widowControl/>
        <w:numPr>
          <w:ilvl w:val="1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Wykonawca ponosi wszelkie koszty związane z przygotowaniem powierzchni, naprawą istniejącego pokrycia, zakupem i dostawą materiałów systemowych, wykonaniem robót, utylizacją odpadów oraz zabezpieczeniem istniejącej infrastruktury znajdującej się na dachu.</w:t>
      </w:r>
    </w:p>
    <w:p w14:paraId="45F8BB1E" w14:textId="77777777" w:rsidR="00B31F53" w:rsidRDefault="000A4467">
      <w:pPr>
        <w:pStyle w:val="Tekstpodstawowy"/>
        <w:widowControl/>
        <w:numPr>
          <w:ilvl w:val="1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Wykonawca zobowiązany jest do utrzymania terenu robót w stanie uporządkowanym oraz do bieżącego usuwania powstałych odpadów.</w:t>
      </w:r>
    </w:p>
    <w:p w14:paraId="722F38F9" w14:textId="77777777" w:rsidR="00B31F53" w:rsidRDefault="000A4467">
      <w:pPr>
        <w:pStyle w:val="Tekstpodstawowy"/>
        <w:widowControl/>
        <w:numPr>
          <w:ilvl w:val="1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Odpady należy zagospodarować i przekazać do utylizacji zgodnie z obowiązującymi przepisami.</w:t>
      </w:r>
    </w:p>
    <w:p w14:paraId="18A9A8D0" w14:textId="61640089" w:rsidR="00B31F53" w:rsidRDefault="000A4467">
      <w:pPr>
        <w:pStyle w:val="Tekstpodstawowy"/>
        <w:widowControl/>
        <w:numPr>
          <w:ilvl w:val="1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Zastosowany system renowacji pokrycia dachowego, w tym wszystkie jego warstwy i materiały, nie może powodować zakłóceń ani negatywnie wpływać na propagację promieniowania elektromagnetycznego oraz prawidłowe funkcjonowanie istniejących na dachu urządzeń i instalacji teletechnicznych. Wykonawca zobowiązany jest przedstawić Zamawiającemu, przed zastosowaniem systemu, dokument producenta potwierdzający spełnienie powyższego wymagania.</w:t>
      </w:r>
    </w:p>
    <w:p w14:paraId="462F4EE3" w14:textId="647BB5DA" w:rsidR="009F15B1" w:rsidRDefault="009F15B1">
      <w:pPr>
        <w:pStyle w:val="Tekstpodstawowy"/>
        <w:widowControl/>
        <w:numPr>
          <w:ilvl w:val="1"/>
          <w:numId w:val="4"/>
        </w:numPr>
        <w:tabs>
          <w:tab w:val="left" w:pos="567"/>
        </w:tabs>
        <w:spacing w:after="0" w:line="276" w:lineRule="auto"/>
        <w:ind w:left="567"/>
        <w:jc w:val="both"/>
        <w:rPr>
          <w:rFonts w:cstheme="minorHAnsi"/>
          <w:sz w:val="22"/>
        </w:rPr>
      </w:pPr>
      <w:r w:rsidRPr="009F15B1">
        <w:rPr>
          <w:rFonts w:cstheme="minorHAnsi"/>
          <w:sz w:val="22"/>
        </w:rPr>
        <w:t xml:space="preserve">Przygotowanie i wykonanie membrany uszczelniającej (renowacja powierzchni) zrealizowane musi być zgodnie z wytycznymi producenta przyjętego systemu. Zakres robót podany w części dotyczącej jej wykonania (renowacja podłoża) służy jedynie do określenia czynność. Technologię renowacji określi producent systemu wykonania membrany uszczelniającej.  </w:t>
      </w:r>
    </w:p>
    <w:p w14:paraId="3FBDECE2" w14:textId="0F05824A" w:rsidR="00B31F53" w:rsidRDefault="000A4467" w:rsidP="009F15B1">
      <w:pPr>
        <w:pStyle w:val="Tekstpodstawowy"/>
        <w:widowControl/>
        <w:tabs>
          <w:tab w:val="left" w:pos="567"/>
        </w:tabs>
        <w:spacing w:after="0" w:line="276" w:lineRule="auto"/>
        <w:ind w:left="567"/>
        <w:jc w:val="both"/>
        <w:rPr>
          <w:sz w:val="22"/>
        </w:rPr>
      </w:pPr>
      <w:r>
        <w:rPr>
          <w:rFonts w:cstheme="minorHAnsi"/>
          <w:sz w:val="22"/>
        </w:rPr>
        <w:br/>
      </w:r>
    </w:p>
    <w:p w14:paraId="74357237" w14:textId="77777777" w:rsidR="00B31F53" w:rsidRDefault="00B31F53">
      <w:pPr>
        <w:pStyle w:val="Tekstpodstawowy"/>
        <w:widowControl/>
        <w:spacing w:after="0" w:line="276" w:lineRule="auto"/>
        <w:jc w:val="both"/>
        <w:rPr>
          <w:rFonts w:cstheme="minorHAnsi"/>
          <w:sz w:val="22"/>
        </w:rPr>
      </w:pPr>
    </w:p>
    <w:p w14:paraId="416B9933" w14:textId="77777777" w:rsidR="00B31F53" w:rsidRDefault="000A4467">
      <w:pPr>
        <w:pStyle w:val="Tekstpodstawowy"/>
        <w:widowControl/>
        <w:numPr>
          <w:ilvl w:val="1"/>
          <w:numId w:val="3"/>
        </w:numPr>
        <w:spacing w:after="180" w:line="276" w:lineRule="auto"/>
        <w:jc w:val="both"/>
        <w:rPr>
          <w:rFonts w:cstheme="minorHAnsi"/>
          <w:b/>
          <w:sz w:val="22"/>
        </w:rPr>
      </w:pPr>
      <w:r>
        <w:rPr>
          <w:rFonts w:cstheme="minorHAnsi"/>
          <w:b/>
          <w:sz w:val="22"/>
        </w:rPr>
        <w:t xml:space="preserve"> Wizja lokalna i kontakt</w:t>
      </w:r>
    </w:p>
    <w:p w14:paraId="57E0FEAF" w14:textId="77777777" w:rsidR="00B31F53" w:rsidRDefault="000A4467">
      <w:pPr>
        <w:pStyle w:val="Tekstpodstawowy"/>
        <w:widowControl/>
        <w:spacing w:after="180" w:line="276" w:lineRule="auto"/>
        <w:jc w:val="both"/>
        <w:rPr>
          <w:rFonts w:cstheme="minorHAnsi"/>
          <w:b/>
          <w:sz w:val="22"/>
        </w:rPr>
      </w:pPr>
      <w:r>
        <w:rPr>
          <w:rFonts w:cstheme="minorHAnsi"/>
          <w:sz w:val="22"/>
        </w:rPr>
        <w:t>Zamawiający zaleca przeprowadzenie wizji lokalnej na obiekcie</w:t>
      </w:r>
    </w:p>
    <w:p w14:paraId="6D977283" w14:textId="77777777" w:rsidR="00B31F53" w:rsidRDefault="00B31F53">
      <w:pPr>
        <w:jc w:val="both"/>
        <w:rPr>
          <w:rFonts w:cstheme="minorHAnsi"/>
        </w:rPr>
      </w:pPr>
    </w:p>
    <w:p w14:paraId="6610FDDA" w14:textId="77777777" w:rsidR="00B31F53" w:rsidRDefault="000A4467">
      <w:pPr>
        <w:pStyle w:val="Tekstpodstawowy"/>
        <w:spacing w:after="0" w:line="276" w:lineRule="auto"/>
        <w:jc w:val="both"/>
        <w:rPr>
          <w:rFonts w:cstheme="minorHAnsi"/>
          <w:b/>
          <w:bCs/>
          <w:sz w:val="22"/>
        </w:rPr>
      </w:pPr>
      <w:r>
        <w:rPr>
          <w:rFonts w:cstheme="minorHAnsi"/>
          <w:b/>
          <w:bCs/>
          <w:sz w:val="22"/>
        </w:rPr>
        <w:t>Załączniki</w:t>
      </w:r>
    </w:p>
    <w:p w14:paraId="34E7948C" w14:textId="77777777" w:rsidR="00B31F53" w:rsidRDefault="000A4467">
      <w:pPr>
        <w:pStyle w:val="Tekstpodstawowy"/>
        <w:widowControl/>
        <w:numPr>
          <w:ilvl w:val="1"/>
          <w:numId w:val="2"/>
        </w:numPr>
        <w:spacing w:after="0" w:line="276" w:lineRule="auto"/>
        <w:ind w:left="284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Załącznik nr 1 -  powierzchnia dachu podlegającą renowacji</w:t>
      </w:r>
    </w:p>
    <w:p w14:paraId="333A9E78" w14:textId="77777777" w:rsidR="00B31F53" w:rsidRDefault="000A4467">
      <w:pPr>
        <w:pStyle w:val="Tekstpodstawowy"/>
        <w:widowControl/>
        <w:numPr>
          <w:ilvl w:val="1"/>
          <w:numId w:val="2"/>
        </w:numPr>
        <w:spacing w:after="0" w:line="276" w:lineRule="auto"/>
        <w:ind w:left="284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Załącznik nr 2 -  rozmieszczenie urządzeń na powierzchni dachu</w:t>
      </w:r>
    </w:p>
    <w:p w14:paraId="6ADE32BD" w14:textId="77777777" w:rsidR="00B31F53" w:rsidRDefault="00B31F53">
      <w:pPr>
        <w:jc w:val="both"/>
      </w:pPr>
    </w:p>
    <w:sectPr w:rsidR="00B31F53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67CB"/>
    <w:multiLevelType w:val="multilevel"/>
    <w:tmpl w:val="40C4F80E"/>
    <w:lvl w:ilvl="0">
      <w:start w:val="1"/>
      <w:numFmt w:val="bullet"/>
      <w:lvlText w:val=""/>
      <w:lvlJc w:val="left"/>
      <w:pPr>
        <w:tabs>
          <w:tab w:val="num" w:pos="0"/>
        </w:tabs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2DD51022"/>
    <w:multiLevelType w:val="multilevel"/>
    <w:tmpl w:val="2A4610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469215BF"/>
    <w:multiLevelType w:val="multilevel"/>
    <w:tmpl w:val="0448B922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3" w15:restartNumberingAfterBreak="0">
    <w:nsid w:val="6C961769"/>
    <w:multiLevelType w:val="multilevel"/>
    <w:tmpl w:val="A38CDE1C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4" w15:restartNumberingAfterBreak="0">
    <w:nsid w:val="72B312F3"/>
    <w:multiLevelType w:val="multilevel"/>
    <w:tmpl w:val="3B7C56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F53"/>
    <w:rsid w:val="000A4467"/>
    <w:rsid w:val="00286831"/>
    <w:rsid w:val="009F15B1"/>
    <w:rsid w:val="00B31F53"/>
    <w:rsid w:val="00FB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4793F"/>
  <w15:docId w15:val="{220CB35D-C37E-442A-83DE-45C3E2998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basedOn w:val="Normalny"/>
    <w:next w:val="Tekstpodstawowy"/>
    <w:link w:val="Nagwek2Znak"/>
    <w:uiPriority w:val="9"/>
    <w:unhideWhenUsed/>
    <w:qFormat/>
    <w:rsid w:val="00750E7C"/>
    <w:pPr>
      <w:keepNext/>
      <w:keepLines/>
      <w:spacing w:before="240" w:after="0" w:line="276" w:lineRule="auto"/>
      <w:outlineLvl w:val="1"/>
    </w:pPr>
    <w:rPr>
      <w:rFonts w:eastAsiaTheme="majorEastAsia" w:cstheme="majorBidi"/>
      <w:b/>
      <w:color w:val="E31837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750E7C"/>
    <w:rPr>
      <w:rFonts w:eastAsiaTheme="majorEastAsia" w:cstheme="majorBidi"/>
      <w:b/>
      <w:color w:val="E31837"/>
      <w:sz w:val="28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50E7C"/>
    <w:rPr>
      <w:rFonts w:eastAsia="Lato" w:cs="Lato"/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750E7C"/>
  </w:style>
  <w:style w:type="character" w:styleId="Pogrubienie">
    <w:name w:val="Strong"/>
    <w:uiPriority w:val="22"/>
    <w:qFormat/>
    <w:rsid w:val="00750E7C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rsid w:val="00750E7C"/>
    <w:pPr>
      <w:widowControl w:val="0"/>
      <w:spacing w:after="120" w:line="240" w:lineRule="auto"/>
    </w:pPr>
    <w:rPr>
      <w:rFonts w:eastAsia="Lato" w:cs="Lato"/>
      <w:sz w:val="24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NormalnyWeb">
    <w:name w:val="Normal (Web)"/>
    <w:basedOn w:val="Normalny"/>
    <w:uiPriority w:val="99"/>
    <w:unhideWhenUsed/>
    <w:qFormat/>
    <w:rsid w:val="00BE50C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E4DEE"/>
    <w:pPr>
      <w:ind w:left="720"/>
      <w:contextualSpacing/>
    </w:p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Wolanin Agnieszka</dc:creator>
  <dc:description/>
  <cp:lastModifiedBy>Cieśla Jolanta</cp:lastModifiedBy>
  <cp:revision>5</cp:revision>
  <dcterms:created xsi:type="dcterms:W3CDTF">2026-09-11T10:03:00Z</dcterms:created>
  <dcterms:modified xsi:type="dcterms:W3CDTF">2026-09-15T05:20:00Z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UxC4dwLulzfINJ8nQH+xvX5LNGipWa4BRSZhPgxsCvmyNSAY6Va/9Um8ir5lB0rQzBWfZwS4PP5taJsDIPeaGQ==</vt:lpwstr>
  </property>
  <property fmtid="{D5CDD505-2E9C-101B-9397-08002B2CF9AE}" pid="4" name="MFClassificationDate">
    <vt:lpwstr>2026-09-02T13:42:02.3257564+02:00</vt:lpwstr>
  </property>
  <property fmtid="{D5CDD505-2E9C-101B-9397-08002B2CF9AE}" pid="5" name="MFClassifiedBySID">
    <vt:lpwstr>UxC4dwLulzfINJ8nQH+xvX5LNGipWa4BRSZhPgxsCvm42mrIC/DSDv0ggS+FjUN/2v1BBotkLlY5aAiEhoi6uWtq29ztiwB5VES6UXn5VnvkUKJBcUjLSpi55+Z5aNJR</vt:lpwstr>
  </property>
  <property fmtid="{D5CDD505-2E9C-101B-9397-08002B2CF9AE}" pid="6" name="MFGRNItemId">
    <vt:lpwstr>GRN-e4c36d4f-0696-4f3f-a360-e55f94497d61</vt:lpwstr>
  </property>
  <property fmtid="{D5CDD505-2E9C-101B-9397-08002B2CF9AE}" pid="7" name="MFHash">
    <vt:lpwstr>L+vGPKv59nb4/moAFlYOQpA9LpFHfcsiy4QasWJOiTg=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